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60.0" w:type="dxa"/>
        <w:jc w:val="left"/>
        <w:tblInd w:w="-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4155"/>
        <w:gridCol w:w="3315"/>
        <w:gridCol w:w="2235"/>
        <w:gridCol w:w="2190"/>
        <w:tblGridChange w:id="0">
          <w:tblGrid>
            <w:gridCol w:w="2865"/>
            <w:gridCol w:w="4155"/>
            <w:gridCol w:w="3315"/>
            <w:gridCol w:w="2235"/>
            <w:gridCol w:w="21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Transport et mobilité / Sécurité</w:t>
            </w:r>
          </w:p>
        </w:tc>
      </w:tr>
      <w:tr>
        <w:trPr>
          <w:cantSplit w:val="0"/>
          <w:trHeight w:val="735.12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Objectifs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Moyens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Indicateurs de réussite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Responsables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Échéancier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Sécuriser les déplacements dans la municipalité.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Répandre de l’abrasif sur la section de trottoir devant l’hôtel de ville l’hiver.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Le trottoir devant l'hôtel de ville est sécuritaire pour les piétons.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Travaux publics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À chaque hiver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Organiser une campagne de sensibilisation au partage de la rue.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Les médias de la municipalité partagent les outils de sensibilisation au partage de la rue une fois par année.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Sûreté du Québec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À chaque été</w:t>
            </w:r>
          </w:p>
        </w:tc>
      </w:tr>
      <w:tr>
        <w:trPr>
          <w:cantSplit w:val="0"/>
          <w:trHeight w:val="1072.7199999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Appuyer la démarche de Napierville pour sécuriser le passage devant le CLSC.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L’intersection est sécurisée à l’aide de nouvelles signalisations.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Napierville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En continu</w:t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Diversifier l’offre de transport dans la municipalité.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Évaluer la possibilité d’offrir un service de transport à la demande.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 regroupement de municipalités participe à la conception d’un projet pilote de transport à la demande.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MRC (Partenaire)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SAB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D’ici juin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Promouvoir le service de transport-accompagnement médical du SAB dans le Cypriote-aîné.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Une publication paraît une fois par année dans le Cypriote-aîné.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SAB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Comité de suivi MADA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À chaque Automne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Représenter les aîné.es les plus  vulnérables de la municipalité.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Recueillir et publier des témoignages d’aîné.es de la municipalité.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 témoignage est recueilli et diffusé dans le Cypriote-Aîné à chaque saison.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Comité de suivi MADA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En continu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Habitat et milieu de vie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Objectifs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Moyens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Indicateurs de réussite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Responsables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Échéancier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Faciliter le transport actif dans la municipalité.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Implanter un parcours actif dans les parcs.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Des affiches d’exercices (5) sont installées dans le parc municipal.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Travaux publics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Juin 2023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Ajouter des bancs de parc près de l’hôtel de ville et dans les secteurs plus piétonniers de la municipalité.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Des bancs (2) sont installés devant l’hôtel de ville et 2 bancs à des endroits stratégiques dans la municipalité.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Travaux publics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Juin 2023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Revendiquer le maintien des services  du CLSC Napierville auprès du CISSSMO.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Les services sont maintenus ou bonifiés au point de service du CLSC Napierville.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En continu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Appuyer les démarches du comité logement Roussillon pour la création d’une résidence pour aîné.es.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La chargée de projet MADA de la MRC assure le suivi de la démarche auprès du comité de suivi MADA.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MRC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En continu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Coordonner le démarrage du projet pilote “ Coup de main, Coup de coeur”.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 site web est créé pour le projet pilote.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Une campagne de promotion du projet est organisée.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 responsable de la coordination est nommé dans la municipalité.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Comité de suivi MADA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Dès février 2023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Améliorer l’accès à la saine alimentation.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Demander à l’épicerie locale d’offrir un service de préparation de commandes téléphonique pour aîné.es.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Une demande est formulée auprès des propriétaires de l’épicerie Métro Corriveau.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Métro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Automne 2022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Promouvoir la caravane des cultures dans les médias de la municipalité dans le Cypriote-aîné.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Une publication est diffusée dans le Cypriote-aîné lors du lancement de la saison.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CLD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À chaque printemps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Promouvoir le dépannage alimentaire de la société Saint-Vincent-de-Paul dans le Cypriote-aîné.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Une publication est diffusée dans le Cypriote-aîné à chaque hiver.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Saint-Vincent-de-Paul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À chaque automne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Promouvoir le service de livraison de repas congelés diététiques du SAB dans le Cypriote-aîné.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Une publication est diffusée dans le Cypriote-aîné à chaque printemps.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SAB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À chaque printemps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Communication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Objectifs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Moyens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Indicateurs de réussite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Responsables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Échéancier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Améliorer l’accessibilité à l’information municipale.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Faire paraître un bulletin municipal spécifiquement pour les aîné.es, le “Cypriote-aîné”.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Faire paraître un bulletin Cypriote-aîné par saison.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Comité de suivi MADA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En continu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Offrir un espace à la FADOQ dans le Cypriote-aîné.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Au moins une parution du Cypriote-aîné par année contient une section dédiée à la FADOQ.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FADOQ Napierville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En continu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Promouvoir les services et les activités pour aîné.es dans le Cypriote-Aîné.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Chaque parution du Cypriote-aîné diffuse au moins 1 service ou une activité à l’attention des aîné.es.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Comité de suivi MADA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En continu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Loisirs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Objectifs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Moyens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Indicateurs de réussite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Responsables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Échéancier</w:t>
            </w:r>
          </w:p>
        </w:tc>
      </w:tr>
      <w:tr>
        <w:trPr>
          <w:cantSplit w:val="0"/>
          <w:trHeight w:val="31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Rejoindre davantage d’aîné.es avec l’offre de loisirs de la municipalité.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Développer les parcs municipaux avec des aires spécifiques pour chaque génération.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Demander à Loisirs et sports Montérégie d’accompagner la conception du nouveau parc municipal.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Le nouveau parc municipal est conçu avec des sections dédiés à tous les âges.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Travaux public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Loisirs et sports Montérégie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Juin 2024</w:t>
            </w:r>
          </w:p>
        </w:tc>
      </w:tr>
      <w:tr>
        <w:trPr>
          <w:cantSplit w:val="0"/>
          <w:trHeight w:val="2280.43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Concevoir un sentier adapté aux aîné.es dans le projet de nouveau parc municipal.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 sentier adapté aux aîné.es est intégré dans la conception du nouveau parc municipal.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 sentier adapté aux aîné.es est conçu dans le nouveau parc municipal.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Travaux public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Loisirs et sports Montérégie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Juin 2025</w:t>
            </w:r>
          </w:p>
        </w:tc>
      </w:tr>
      <w:tr>
        <w:trPr>
          <w:cantSplit w:val="0"/>
          <w:trHeight w:val="2979.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Organiser des café-discussions pour aîné.es.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Une programmation annuelle de café-discussions est organisée avec la bibliothèque de Napierville et le SAB.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 café-discussion par saison est organisé sur des thématiques variées ciblant les aîné.es.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Bibliothèque (Partenaire potentiel)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SAB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Trois fois par an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Favoriser l’implication bénévole des citoyen.nes.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Organiser une campagne de promotion du bénévolat.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La municipalité organise avec le SAB une campagne de promotion du bénévolat par année.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Municipalité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SAB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Une fois par an</w:t>
            </w:r>
          </w:p>
        </w:tc>
      </w:tr>
      <w:tr>
        <w:trPr>
          <w:cantSplit w:val="0"/>
          <w:trHeight w:val="879.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"/>
              </w:numPr>
              <w:spacing w:line="240" w:lineRule="auto"/>
              <w:ind w:left="425.19685039370046" w:hanging="36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Faire la promotion du bénévolat dans le journal local “Le coup d’oeil”.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 article sur le bénévolat est publié par année dans le journal le Coups d'œil.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SAB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Le coups d’oeil (Partenaire)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Une fois par an, au mois d’avril.</w:t>
            </w:r>
          </w:p>
        </w:tc>
      </w:tr>
    </w:tbl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9" w:w="16834" w:orient="landscape"/>
      <w:pgMar w:bottom="1440" w:top="1440" w:left="1440" w:right="1440" w:header="566.9291338582677" w:footer="566.9291338582677"/>
      <w:pgNumType w:start="13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spacing w:line="240" w:lineRule="auto"/>
      <w:jc w:val="center"/>
      <w:rPr/>
    </w:pPr>
    <w:r w:rsidDel="00000000" w:rsidR="00000000" w:rsidRPr="00000000">
      <w:rPr>
        <w:rFonts w:ascii="Montserrat" w:cs="Montserrat" w:eastAsia="Montserrat" w:hAnsi="Montserrat"/>
        <w:b w:val="1"/>
      </w:rPr>
      <w:drawing>
        <wp:inline distB="114300" distT="114300" distL="114300" distR="114300">
          <wp:extent cx="8863200" cy="11557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3200" cy="1155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spacing w:line="240" w:lineRule="auto"/>
      <w:jc w:val="center"/>
      <w:rPr/>
    </w:pPr>
    <w:r w:rsidDel="00000000" w:rsidR="00000000" w:rsidRPr="00000000">
      <w:rPr>
        <w:rFonts w:ascii="Montserrat" w:cs="Montserrat" w:eastAsia="Montserrat" w:hAnsi="Montserrat"/>
        <w:b w:val="1"/>
      </w:rPr>
      <w:drawing>
        <wp:inline distB="114300" distT="114300" distL="114300" distR="114300">
          <wp:extent cx="8863200" cy="1155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3200" cy="1155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spacing w:line="240" w:lineRule="auto"/>
      <w:jc w:val="center"/>
      <w:rPr/>
    </w:pPr>
    <w:r w:rsidDel="00000000" w:rsidR="00000000" w:rsidRPr="00000000">
      <w:rPr>
        <w:rFonts w:ascii="Montserrat" w:cs="Montserrat" w:eastAsia="Montserrat" w:hAnsi="Montserrat"/>
        <w:b w:val="1"/>
      </w:rPr>
      <w:drawing>
        <wp:inline distB="114300" distT="114300" distL="114300" distR="114300">
          <wp:extent cx="8863200" cy="11684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3200" cy="1168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jc w:val="center"/>
      <w:rPr>
        <w:rFonts w:ascii="Montserrat" w:cs="Montserrat" w:eastAsia="Montserrat" w:hAnsi="Montserrat"/>
        <w:b w:val="1"/>
        <w:sz w:val="30"/>
        <w:szCs w:val="30"/>
      </w:rPr>
    </w:pPr>
    <w:r w:rsidDel="00000000" w:rsidR="00000000" w:rsidRPr="00000000">
      <w:rPr>
        <w:rFonts w:ascii="Montserrat" w:cs="Montserrat" w:eastAsia="Montserrat" w:hAnsi="Montserrat"/>
        <w:b w:val="1"/>
        <w:sz w:val="30"/>
        <w:szCs w:val="30"/>
        <w:rtl w:val="0"/>
      </w:rPr>
      <w:t xml:space="preserve">Municipalité de Saint-Cyprien-de-Napierville</w:t>
    </w:r>
  </w:p>
  <w:p w:rsidR="00000000" w:rsidDel="00000000" w:rsidP="00000000" w:rsidRDefault="00000000" w:rsidRPr="00000000" w14:paraId="000000C8">
    <w:pPr>
      <w:jc w:val="center"/>
      <w:rPr/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u w:val="single"/>
        <w:rtl w:val="0"/>
      </w:rPr>
      <w:t xml:space="preserve">Plan d’action MADA 2022-2025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jc w:val="center"/>
      <w:rPr>
        <w:rFonts w:ascii="Montserrat" w:cs="Montserrat" w:eastAsia="Montserrat" w:hAnsi="Montserrat"/>
        <w:b w:val="1"/>
        <w:i w:val="1"/>
        <w:sz w:val="26"/>
        <w:szCs w:val="2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.196850393700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